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18" w:rsidRDefault="006C3E18" w:rsidP="006C3E18">
      <w:pPr>
        <w:pStyle w:val="Prrafodelista"/>
        <w:spacing w:after="0"/>
      </w:pPr>
    </w:p>
    <w:p w:rsidR="00D16EDA" w:rsidRDefault="00D16EDA" w:rsidP="006C3E18">
      <w:pPr>
        <w:spacing w:after="0"/>
        <w:rPr>
          <w:b/>
        </w:rPr>
      </w:pPr>
      <w:r>
        <w:rPr>
          <w:b/>
        </w:rPr>
        <w:t>Valorización de unidades EX 2020 91576857 Anexo III</w:t>
      </w:r>
    </w:p>
    <w:p w:rsidR="00D16EDA" w:rsidRPr="00D16EDA" w:rsidRDefault="00D16EDA" w:rsidP="006C3E18">
      <w:pPr>
        <w:spacing w:after="0"/>
        <w:rPr>
          <w:b/>
          <w:lang w:val="en-US"/>
        </w:rPr>
      </w:pPr>
      <w:r w:rsidRPr="00D16EDA">
        <w:rPr>
          <w:b/>
          <w:lang w:val="en-US"/>
        </w:rPr>
        <w:t>Real Time PCR (Cod.</w:t>
      </w:r>
      <w:r>
        <w:rPr>
          <w:b/>
          <w:lang w:val="en-US"/>
        </w:rPr>
        <w:t xml:space="preserve"> 888270)</w:t>
      </w:r>
      <w:r w:rsidRPr="00D16EDA">
        <w:rPr>
          <w:b/>
          <w:lang w:val="en-US"/>
        </w:rPr>
        <w:t xml:space="preserve">:  80 UB </w:t>
      </w:r>
      <w:r w:rsidR="003835FE" w:rsidRPr="00D16EDA">
        <w:rPr>
          <w:b/>
          <w:lang w:val="en-US"/>
        </w:rPr>
        <w:t>= $</w:t>
      </w:r>
      <w:r w:rsidRPr="00D16EDA">
        <w:rPr>
          <w:b/>
          <w:lang w:val="en-US"/>
        </w:rPr>
        <w:t>3.638</w:t>
      </w:r>
      <w:proofErr w:type="gramStart"/>
      <w:r w:rsidRPr="00D16EDA">
        <w:rPr>
          <w:b/>
          <w:lang w:val="en-US"/>
        </w:rPr>
        <w:t>,88</w:t>
      </w:r>
      <w:proofErr w:type="gramEnd"/>
    </w:p>
    <w:p w:rsidR="00D16EDA" w:rsidRDefault="00D16EDA" w:rsidP="006C3E18">
      <w:pPr>
        <w:spacing w:after="0"/>
        <w:rPr>
          <w:b/>
        </w:rPr>
      </w:pPr>
      <w:r>
        <w:rPr>
          <w:b/>
        </w:rPr>
        <w:t xml:space="preserve">Inmunocromatografía Test Antígeno (Cod. </w:t>
      </w:r>
      <w:proofErr w:type="gramStart"/>
      <w:r>
        <w:rPr>
          <w:b/>
        </w:rPr>
        <w:t>888271 )</w:t>
      </w:r>
      <w:proofErr w:type="gramEnd"/>
      <w:r>
        <w:rPr>
          <w:b/>
        </w:rPr>
        <w:t>: 40 U.B. = $1.819,44</w:t>
      </w:r>
    </w:p>
    <w:p w:rsidR="009F3009" w:rsidRDefault="003835FE" w:rsidP="006C3E18">
      <w:pPr>
        <w:spacing w:after="0"/>
        <w:rPr>
          <w:b/>
        </w:rPr>
      </w:pPr>
      <w:r>
        <w:rPr>
          <w:b/>
        </w:rPr>
        <w:t>Las</w:t>
      </w:r>
      <w:r w:rsidR="009F3009">
        <w:rPr>
          <w:b/>
        </w:rPr>
        <w:t xml:space="preserve"> autorizaciones pueden tardar hasta 48 en autorizarse. </w:t>
      </w:r>
    </w:p>
    <w:p w:rsidR="00D16EDA" w:rsidRDefault="00D16EDA" w:rsidP="006C3E18">
      <w:pPr>
        <w:spacing w:after="0"/>
        <w:rPr>
          <w:b/>
          <w:u w:val="single"/>
        </w:rPr>
      </w:pPr>
    </w:p>
    <w:p w:rsidR="005F38DB" w:rsidRDefault="005F38DB" w:rsidP="006C3E18">
      <w:pPr>
        <w:spacing w:after="0"/>
        <w:rPr>
          <w:b/>
          <w:u w:val="single"/>
        </w:rPr>
      </w:pPr>
      <w:r w:rsidRPr="00644394">
        <w:rPr>
          <w:b/>
          <w:u w:val="single"/>
        </w:rPr>
        <w:t>CONDICIONES</w:t>
      </w:r>
    </w:p>
    <w:p w:rsidR="009F3009" w:rsidRPr="00644394" w:rsidRDefault="009F3009" w:rsidP="006C3E18">
      <w:pPr>
        <w:spacing w:after="0"/>
        <w:rPr>
          <w:b/>
          <w:u w:val="single"/>
        </w:rPr>
      </w:pPr>
    </w:p>
    <w:tbl>
      <w:tblPr>
        <w:tblW w:w="7689" w:type="dxa"/>
        <w:jc w:val="center"/>
        <w:tblInd w:w="-473" w:type="dxa"/>
        <w:tblCellMar>
          <w:left w:w="70" w:type="dxa"/>
          <w:right w:w="70" w:type="dxa"/>
        </w:tblCellMar>
        <w:tblLook w:val="04A0"/>
      </w:tblPr>
      <w:tblGrid>
        <w:gridCol w:w="7689"/>
      </w:tblGrid>
      <w:tr w:rsidR="005F38DB" w:rsidRPr="005F38DB" w:rsidTr="006C3E18">
        <w:trPr>
          <w:trHeight w:val="810"/>
          <w:jc w:val="center"/>
        </w:trPr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B" w:rsidRPr="005F38DB" w:rsidRDefault="005F38DB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Incluye honorarios y gastos de la práctica, elementos para la toma de muestra, así como los elementos de bioseguridad para la toma</w:t>
            </w: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. </w:t>
            </w:r>
          </w:p>
        </w:tc>
      </w:tr>
      <w:tr w:rsidR="005F38DB" w:rsidRPr="005F38DB" w:rsidTr="006C3E18">
        <w:trPr>
          <w:trHeight w:val="810"/>
          <w:jc w:val="center"/>
        </w:trPr>
        <w:tc>
          <w:tcPr>
            <w:tcW w:w="7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B" w:rsidRPr="005F38DB" w:rsidRDefault="005F38DB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Podrá adicionarse el código 272 (DOMICILIO EN RADIO URBANO - HASTA DOS (2) KMS.) en los casos que la toma de muestra se realice en un lugar diferente al del laboratorio bioquímico, </w:t>
            </w:r>
            <w:r w:rsidRPr="005F38DB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es-ES"/>
              </w:rPr>
              <w:t>según indicación médica.</w:t>
            </w:r>
          </w:p>
        </w:tc>
      </w:tr>
      <w:tr w:rsidR="005F38DB" w:rsidRPr="005F38DB" w:rsidTr="004B39B4">
        <w:trPr>
          <w:trHeight w:val="932"/>
          <w:jc w:val="center"/>
        </w:trPr>
        <w:tc>
          <w:tcPr>
            <w:tcW w:w="7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B" w:rsidRPr="00D16EDA" w:rsidRDefault="00CF606C" w:rsidP="006C3E1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D16EDA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Normas para solicitar autorización</w:t>
            </w:r>
            <w:r w:rsidR="005F38DB" w:rsidRPr="00D16EDA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:</w:t>
            </w:r>
          </w:p>
          <w:p w:rsidR="00CF606C" w:rsidRPr="006C3E18" w:rsidRDefault="00CF606C" w:rsidP="00B117B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Enviar a </w:t>
            </w:r>
            <w:r w:rsidR="004B39B4" w:rsidRPr="00A92C0E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>colbioq</w:t>
            </w:r>
            <w:r w:rsidR="00A92C0E" w:rsidRPr="00A92C0E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>ch.covid19pami</w:t>
            </w:r>
            <w:r w:rsidRPr="00A92C0E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>@gmail.com</w:t>
            </w:r>
            <w:r w:rsidR="00A92C0E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,</w:t>
            </w:r>
            <w:r w:rsidR="0049243C"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COLOCAR EL ASUNTO</w:t>
            </w:r>
            <w:r w:rsidR="0049243C" w:rsidRPr="006C3E1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 “</w:t>
            </w:r>
            <w:r w:rsidR="00B117B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Pedido Autorización, Matricula Profesional, Apellido</w:t>
            </w:r>
            <w:r w:rsidR="00700E1F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 y nombre del </w:t>
            </w:r>
            <w:r w:rsidR="00B117B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 Paciente</w:t>
            </w:r>
            <w:r w:rsidR="0049243C" w:rsidRPr="006C3E1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” (esto es importante para que se identifique con rapide</w:t>
            </w:r>
            <w:r w:rsidR="006C3E18" w:rsidRPr="006C3E18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z el mail)</w:t>
            </w:r>
          </w:p>
        </w:tc>
      </w:tr>
      <w:tr w:rsidR="005F38DB" w:rsidRPr="005F38DB" w:rsidTr="006C3E18">
        <w:trPr>
          <w:trHeight w:val="270"/>
          <w:jc w:val="center"/>
        </w:trPr>
        <w:tc>
          <w:tcPr>
            <w:tcW w:w="7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B" w:rsidRPr="006C3E18" w:rsidRDefault="005F38DB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* Pedido médico</w:t>
            </w: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(en donde se especifique RT-PCR para COVID19</w:t>
            </w:r>
            <w:r w:rsidR="006E139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o Antígeno COVID19</w:t>
            </w: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)</w:t>
            </w:r>
          </w:p>
          <w:p w:rsidR="006C3E18" w:rsidRPr="006C3E18" w:rsidRDefault="006C3E18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* Número de teléfono de contacto del pacientes</w:t>
            </w:r>
          </w:p>
          <w:p w:rsidR="00CF606C" w:rsidRPr="005F38DB" w:rsidRDefault="00CF606C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* Breve historia clínica donde se justifique la razón del pedido de la practica</w:t>
            </w:r>
            <w:r w:rsidR="00644394"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(</w:t>
            </w:r>
            <w:r w:rsidR="00644394" w:rsidRPr="00F5408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>signos y síntomas</w:t>
            </w:r>
            <w:r w:rsidR="00F5408B" w:rsidRPr="00F5408B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 y fecha de inicio de los mismos</w:t>
            </w:r>
            <w:r w:rsidR="00F5408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)</w:t>
            </w:r>
          </w:p>
        </w:tc>
      </w:tr>
      <w:tr w:rsidR="005F38DB" w:rsidRPr="005F38DB" w:rsidTr="006C3E18">
        <w:trPr>
          <w:trHeight w:val="270"/>
          <w:jc w:val="center"/>
        </w:trPr>
        <w:tc>
          <w:tcPr>
            <w:tcW w:w="7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B" w:rsidRPr="006C3E18" w:rsidRDefault="005F38DB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* Ficha epidemiológica COMPLETA (todas las páginas)</w:t>
            </w: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con firma y sello del médico solicitante</w:t>
            </w:r>
            <w:r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. </w:t>
            </w:r>
          </w:p>
          <w:p w:rsidR="00CF606C" w:rsidRPr="006C3E18" w:rsidRDefault="00CF606C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CF606C" w:rsidRPr="00D16EDA" w:rsidRDefault="00CF606C" w:rsidP="006C3E1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</w:pPr>
            <w:r w:rsidRPr="00D16EDA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s-ES"/>
              </w:rPr>
              <w:t>Documentación que se debe enviar con la facturación de PAMI mensual:</w:t>
            </w:r>
          </w:p>
          <w:p w:rsidR="00CF606C" w:rsidRPr="005F38DB" w:rsidRDefault="00CF606C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*Originales de lo enviado por correo</w:t>
            </w:r>
            <w:r w:rsidR="00644394"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al momento de solicitar </w:t>
            </w:r>
            <w:r w:rsidR="006C3E18"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autorización</w:t>
            </w: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, y se debe agregar</w:t>
            </w:r>
          </w:p>
        </w:tc>
      </w:tr>
      <w:tr w:rsidR="005F38DB" w:rsidRPr="005F38DB" w:rsidTr="006C3E18">
        <w:trPr>
          <w:trHeight w:val="270"/>
          <w:jc w:val="center"/>
        </w:trPr>
        <w:tc>
          <w:tcPr>
            <w:tcW w:w="7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B" w:rsidRDefault="005F38DB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* Número de registro en SIISA del paciente </w:t>
            </w:r>
          </w:p>
          <w:p w:rsidR="00C45237" w:rsidRPr="005F38DB" w:rsidRDefault="00C45237" w:rsidP="00C452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* Autorización por SICOBIO</w:t>
            </w:r>
          </w:p>
        </w:tc>
      </w:tr>
      <w:tr w:rsidR="005F38DB" w:rsidRPr="005F38DB" w:rsidTr="006C3E18">
        <w:trPr>
          <w:trHeight w:val="270"/>
          <w:jc w:val="center"/>
        </w:trPr>
        <w:tc>
          <w:tcPr>
            <w:tcW w:w="7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42" w:rsidRPr="006C3E18" w:rsidRDefault="00132342" w:rsidP="006C3E18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es-ES"/>
              </w:rPr>
            </w:pPr>
          </w:p>
          <w:p w:rsidR="005F38DB" w:rsidRPr="005F38DB" w:rsidRDefault="005F38DB" w:rsidP="006C3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5F38DB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  <w:t xml:space="preserve">ACLARACIONES IMPORTANTES: </w:t>
            </w:r>
          </w:p>
        </w:tc>
      </w:tr>
      <w:tr w:rsidR="005F38DB" w:rsidRPr="005F38DB" w:rsidTr="006C3E18">
        <w:trPr>
          <w:trHeight w:val="540"/>
          <w:jc w:val="center"/>
        </w:trPr>
        <w:tc>
          <w:tcPr>
            <w:tcW w:w="7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DB" w:rsidRPr="005F38DB" w:rsidRDefault="005F38DB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La cobertura de la prestación es exclusivamente de acuerdo a las pautas del Ministerio de Salud, con pedido médico y ficha epidemiológica.</w:t>
            </w:r>
          </w:p>
        </w:tc>
      </w:tr>
      <w:tr w:rsidR="005F38DB" w:rsidRPr="005F38DB" w:rsidTr="006C3E18">
        <w:trPr>
          <w:trHeight w:val="810"/>
          <w:jc w:val="center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394" w:rsidRPr="006C3E18" w:rsidRDefault="00644394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Es importante destacar que </w:t>
            </w:r>
            <w:r w:rsidR="005F38DB"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aquellos casos punt</w:t>
            </w:r>
            <w:r w:rsidR="00CF606C"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uales de consultas de pacientes SIN SINTOMAS </w:t>
            </w:r>
            <w:r w:rsidR="005F38DB"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(solicitud de hisopados por pre quirúrgicos, via</w:t>
            </w:r>
            <w:r w:rsidR="00CF606C"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jes, autorizaciones, ingreso a </w:t>
            </w: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geriátricos, etc.</w:t>
            </w:r>
            <w:r w:rsidR="005F38DB"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)</w:t>
            </w: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no serán autorizados por no cumplir con la definición de caso</w:t>
            </w:r>
          </w:p>
          <w:p w:rsidR="00644394" w:rsidRPr="006C3E18" w:rsidRDefault="00644394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CF606C" w:rsidRPr="006C3E18" w:rsidRDefault="00644394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5F38DB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En aquellos casos que el paciente requiera la toma de muestra, para alguna situación NO prevista por el Ministerio de Salud, podrán cobrar la misma y emitir factura dejando constancia de tal situación en la misma.</w:t>
            </w:r>
            <w:r w:rsidRPr="006C3E18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644394" w:rsidRPr="005F38DB" w:rsidRDefault="00644394" w:rsidP="006C3E1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644394" w:rsidRDefault="00644394" w:rsidP="00644394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333333"/>
          <w:sz w:val="20"/>
          <w:szCs w:val="20"/>
          <w:lang w:eastAsia="es-ES"/>
        </w:rPr>
      </w:pPr>
    </w:p>
    <w:p w:rsidR="00644394" w:rsidRDefault="00D6037E" w:rsidP="00644394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333333"/>
          <w:sz w:val="20"/>
          <w:szCs w:val="20"/>
          <w:lang w:eastAsia="es-ES"/>
        </w:rPr>
      </w:pPr>
      <w:r w:rsidRPr="00D6037E">
        <w:rPr>
          <w:rFonts w:eastAsia="Times New Roman" w:cs="Arial"/>
          <w:b/>
          <w:bCs/>
          <w:noProof/>
          <w:color w:val="333333"/>
          <w:sz w:val="20"/>
          <w:szCs w:val="20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04.35pt;margin-top:8.1pt;width:88.7pt;height:21.3pt;z-index:251658240" fillcolor="#943634 [2405]"/>
        </w:pict>
      </w:r>
    </w:p>
    <w:p w:rsidR="00644394" w:rsidRDefault="006C3E18" w:rsidP="006C3E1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color w:val="333333"/>
          <w:sz w:val="20"/>
          <w:szCs w:val="20"/>
          <w:lang w:eastAsia="es-ES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es-ES"/>
        </w:rPr>
        <w:t xml:space="preserve">Definición de caso sospechoso </w:t>
      </w:r>
    </w:p>
    <w:p w:rsidR="00644394" w:rsidRDefault="00644394" w:rsidP="00644394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333333"/>
          <w:sz w:val="20"/>
          <w:szCs w:val="20"/>
          <w:lang w:eastAsia="es-ES"/>
        </w:rPr>
      </w:pPr>
    </w:p>
    <w:p w:rsidR="009F3009" w:rsidRDefault="009F3009" w:rsidP="00644394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333333"/>
          <w:sz w:val="20"/>
          <w:szCs w:val="20"/>
          <w:lang w:eastAsia="es-ES"/>
        </w:rPr>
      </w:pPr>
    </w:p>
    <w:tbl>
      <w:tblPr>
        <w:tblW w:w="841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0"/>
      </w:tblGrid>
      <w:tr w:rsidR="00644394" w:rsidRPr="00644394" w:rsidTr="00644394">
        <w:tc>
          <w:tcPr>
            <w:tcW w:w="84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EDF7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DEFINICIÓN DE CASO SOSPECHOSO COVID-19 | 11 de septiembre 2020</w:t>
            </w:r>
          </w:p>
        </w:tc>
      </w:tr>
      <w:tr w:rsidR="00644394" w:rsidRPr="00644394" w:rsidTr="0064439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44394" w:rsidRPr="00644394" w:rsidRDefault="00644394" w:rsidP="00644394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Criterio 1</w:t>
            </w:r>
          </w:p>
        </w:tc>
      </w:tr>
      <w:tr w:rsidR="00644394" w:rsidRPr="00644394" w:rsidTr="0064439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EDF7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Toda persona que (de cualquier edad) que presente dos o más de los siguientes síntomas</w:t>
            </w:r>
          </w:p>
          <w:p w:rsidR="00644394" w:rsidRPr="00644394" w:rsidRDefault="00644394" w:rsidP="0064439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Fiebre (37.5°C o más)</w:t>
            </w:r>
          </w:p>
          <w:p w:rsidR="00644394" w:rsidRPr="00644394" w:rsidRDefault="00644394" w:rsidP="0064439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Tos</w:t>
            </w:r>
          </w:p>
          <w:p w:rsidR="00644394" w:rsidRPr="00644394" w:rsidRDefault="00644394" w:rsidP="0064439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Odinofagia</w:t>
            </w:r>
            <w:proofErr w:type="spellEnd"/>
          </w:p>
          <w:p w:rsidR="00644394" w:rsidRPr="00644394" w:rsidRDefault="00644394" w:rsidP="0064439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Dificultad respiratoria</w:t>
            </w:r>
          </w:p>
          <w:p w:rsidR="00644394" w:rsidRPr="00644394" w:rsidRDefault="00644394" w:rsidP="0064439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Cefalea</w:t>
            </w:r>
          </w:p>
          <w:p w:rsidR="00644394" w:rsidRPr="00644394" w:rsidRDefault="00644394" w:rsidP="0064439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Mialgias</w:t>
            </w:r>
          </w:p>
          <w:p w:rsidR="00644394" w:rsidRPr="00644394" w:rsidRDefault="00644394" w:rsidP="0064439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Diarrea/vómitos*</w:t>
            </w:r>
          </w:p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Sin otra etiología que explique completamente la presentación clínica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>Este criterio incluye toda infección respiratoria aguda grave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>*Los signos o síntomas separados por una barra (/) deben considerarse como uno solo.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</w: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Ó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 </w:t>
            </w: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Pérdida repentina del gusto o del olfato, en ausencia de cualquier otra causa identificada</w:t>
            </w:r>
          </w:p>
        </w:tc>
      </w:tr>
      <w:tr w:rsidR="00644394" w:rsidRPr="00644394" w:rsidTr="0064439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44394" w:rsidRPr="00644394" w:rsidRDefault="00644394" w:rsidP="00644394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Criterio 2</w:t>
            </w:r>
          </w:p>
        </w:tc>
      </w:tr>
      <w:tr w:rsidR="00644394" w:rsidRPr="00644394" w:rsidTr="0064439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EDF7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Toda persona que:</w:t>
            </w:r>
          </w:p>
          <w:p w:rsidR="00644394" w:rsidRPr="00644394" w:rsidRDefault="00644394" w:rsidP="006443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Sea trabajador de salud</w:t>
            </w:r>
          </w:p>
          <w:p w:rsidR="00644394" w:rsidRPr="00644394" w:rsidRDefault="00644394" w:rsidP="006443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Resida o trabaje en instituciones cerradas o de internación prolongada*</w:t>
            </w:r>
          </w:p>
          <w:p w:rsidR="00644394" w:rsidRPr="00644394" w:rsidRDefault="00644394" w:rsidP="006443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Sea Personal esencial**</w:t>
            </w:r>
          </w:p>
          <w:p w:rsidR="00644394" w:rsidRPr="00644394" w:rsidRDefault="00644394" w:rsidP="006443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Resida en barrios populares o pueblos originarios***</w:t>
            </w:r>
          </w:p>
          <w:p w:rsidR="00644394" w:rsidRPr="00644394" w:rsidRDefault="00644394" w:rsidP="006443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Sea contacto estrecho de caso confirmado de COVID-19, que dentro de los 14 días posteriores al contacto:</w:t>
            </w:r>
          </w:p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Presente </w:t>
            </w: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1 o más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 de estos síntomas: fiebre (37.5°C o más), tos, 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odinofagia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, dificultad respiratoria, perdida repentina del gusto o del olfato.</w:t>
            </w:r>
          </w:p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*penitenciarias, residencias de adultos mayores, instituciones 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neuropsiquiátricas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, hogares de niñas y niños</w:t>
            </w:r>
          </w:p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**se considera personal esencial:</w:t>
            </w:r>
          </w:p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Fuerzas de seguridad y Fuerzas Armadas</w:t>
            </w:r>
          </w:p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Personas que brinden asistencia a personas mayores</w:t>
            </w:r>
          </w:p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*** Se considera barrio popular a aquellos donde la mitad de la población no cuenta con título de propiedad, ni acceso a dos o más servicios básicos. Fuente: Registro Nacional de Barrios Populares</w:t>
            </w:r>
          </w:p>
        </w:tc>
      </w:tr>
      <w:tr w:rsidR="00644394" w:rsidRPr="00644394" w:rsidTr="0064439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44394" w:rsidRPr="00644394" w:rsidRDefault="00644394" w:rsidP="00644394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Criterio 3</w:t>
            </w:r>
          </w:p>
        </w:tc>
      </w:tr>
      <w:tr w:rsidR="00644394" w:rsidRPr="00644394" w:rsidTr="0064439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EDF7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SÍNDROME INFLAMATORIO MULTISISTÉMICO* POST- COVID19 EN PEDIATRÍA: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>*Definición adaptada de la Organización Mundial de la Salud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</w: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Niños y adolescentes de 0 a 18 años con fiebre mayor a 3 días: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</w: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Y dos de los siguientes:</w:t>
            </w:r>
          </w:p>
          <w:p w:rsidR="00644394" w:rsidRPr="00644394" w:rsidRDefault="00644394" w:rsidP="00644394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</w:pP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a) Erupción cutánea o conjuntivitis bilateral no purulenta o signos de inflamación 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mucocutánea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 (oral, manos o pies).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>b) Hipotensión o shock.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 xml:space="preserve">c) Características de disfunción miocárdica, pericarditis, valvulitis o anomalías coronarias (incluidos los hallazgos ecográficos o elevación de 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Troponina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 / NT-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proBNP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).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 xml:space="preserve">d) Evidencia de 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coagulopatía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 (elevación de PT, PTT, Dímero-D).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>e) Síntomas gastrointestinales agudos (diarrea, vómitos o dolor abdominal).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</w: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Y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 xml:space="preserve">Marcadores elevados de inflamación, como 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eritrosedimentación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, proteína C reactiva o 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procalcitonina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.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</w:r>
            <w:r w:rsidRPr="00644394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s-ES"/>
              </w:rPr>
              <w:t>Y</w:t>
            </w:r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br/>
              <w:t xml:space="preserve">Ninguna otra causa evidente de inflamación (incluida la </w:t>
            </w:r>
            <w:proofErr w:type="spellStart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>sepsis</w:t>
            </w:r>
            <w:proofErr w:type="spellEnd"/>
            <w:r w:rsidRPr="00644394">
              <w:rPr>
                <w:rFonts w:eastAsia="Times New Roman" w:cs="Arial"/>
                <w:color w:val="333333"/>
                <w:sz w:val="18"/>
                <w:szCs w:val="18"/>
                <w:lang w:eastAsia="es-ES"/>
              </w:rPr>
              <w:t xml:space="preserve"> bacteriana, síndromes de shock estafilocócicos o estreptocócicos)</w:t>
            </w:r>
          </w:p>
        </w:tc>
      </w:tr>
    </w:tbl>
    <w:p w:rsidR="00644394" w:rsidRPr="00644394" w:rsidRDefault="00644394" w:rsidP="00644394">
      <w:pPr>
        <w:shd w:val="clear" w:color="auto" w:fill="FFFFFF"/>
        <w:spacing w:after="0" w:line="240" w:lineRule="auto"/>
        <w:ind w:left="-142"/>
        <w:outlineLvl w:val="2"/>
        <w:rPr>
          <w:rFonts w:eastAsia="Times New Roman" w:cs="Arial"/>
          <w:b/>
          <w:bCs/>
          <w:color w:val="333333"/>
          <w:sz w:val="18"/>
          <w:szCs w:val="18"/>
          <w:lang w:eastAsia="es-ES"/>
        </w:rPr>
      </w:pPr>
      <w:r w:rsidRPr="00644394">
        <w:rPr>
          <w:sz w:val="18"/>
          <w:szCs w:val="18"/>
        </w:rPr>
        <w:t xml:space="preserve"> </w:t>
      </w:r>
      <w:r w:rsidRPr="00644394">
        <w:rPr>
          <w:b/>
          <w:sz w:val="18"/>
          <w:szCs w:val="18"/>
        </w:rPr>
        <w:t xml:space="preserve">Fuente: </w:t>
      </w:r>
      <w:r w:rsidRPr="00644394">
        <w:rPr>
          <w:rFonts w:eastAsia="Times New Roman" w:cs="Arial"/>
          <w:b/>
          <w:bCs/>
          <w:color w:val="0070C0"/>
          <w:sz w:val="18"/>
          <w:szCs w:val="18"/>
          <w:lang w:eastAsia="es-ES"/>
        </w:rPr>
        <w:t>(https://www.argentina.gob.ar/salud/coronavirus/definicion-de-caso)</w:t>
      </w:r>
    </w:p>
    <w:p w:rsidR="00646413" w:rsidRPr="00644394" w:rsidRDefault="00646413" w:rsidP="00644394">
      <w:pPr>
        <w:spacing w:after="0" w:line="240" w:lineRule="auto"/>
        <w:rPr>
          <w:sz w:val="20"/>
          <w:szCs w:val="20"/>
        </w:rPr>
      </w:pPr>
    </w:p>
    <w:p w:rsidR="00646413" w:rsidRPr="00644394" w:rsidRDefault="00646413" w:rsidP="00644394">
      <w:pPr>
        <w:spacing w:after="0" w:line="240" w:lineRule="auto"/>
        <w:rPr>
          <w:sz w:val="20"/>
          <w:szCs w:val="20"/>
        </w:rPr>
      </w:pPr>
    </w:p>
    <w:sectPr w:rsidR="00646413" w:rsidRPr="00644394" w:rsidSect="00821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87277"/>
    <w:multiLevelType w:val="multilevel"/>
    <w:tmpl w:val="2A0E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376E29"/>
    <w:multiLevelType w:val="multilevel"/>
    <w:tmpl w:val="F296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101202"/>
    <w:multiLevelType w:val="hybridMultilevel"/>
    <w:tmpl w:val="D40ECE6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A5BDC"/>
    <w:multiLevelType w:val="hybridMultilevel"/>
    <w:tmpl w:val="EBF4943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46301"/>
    <w:multiLevelType w:val="hybridMultilevel"/>
    <w:tmpl w:val="D472A6BA"/>
    <w:lvl w:ilvl="0" w:tplc="5B48389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46413"/>
    <w:rsid w:val="00132342"/>
    <w:rsid w:val="003835FE"/>
    <w:rsid w:val="0049243C"/>
    <w:rsid w:val="004B39B4"/>
    <w:rsid w:val="005C6CFB"/>
    <w:rsid w:val="005F38DB"/>
    <w:rsid w:val="00644394"/>
    <w:rsid w:val="00646413"/>
    <w:rsid w:val="006C3E18"/>
    <w:rsid w:val="006E1398"/>
    <w:rsid w:val="00700E1F"/>
    <w:rsid w:val="007026EE"/>
    <w:rsid w:val="0082138B"/>
    <w:rsid w:val="009F3009"/>
    <w:rsid w:val="00A92C0E"/>
    <w:rsid w:val="00B117BB"/>
    <w:rsid w:val="00C45237"/>
    <w:rsid w:val="00CA13FE"/>
    <w:rsid w:val="00CF606C"/>
    <w:rsid w:val="00D16EDA"/>
    <w:rsid w:val="00D6037E"/>
    <w:rsid w:val="00F5408B"/>
    <w:rsid w:val="00FD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05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8B"/>
  </w:style>
  <w:style w:type="paragraph" w:styleId="Ttulo3">
    <w:name w:val="heading 3"/>
    <w:basedOn w:val="Normal"/>
    <w:link w:val="Ttulo3Car"/>
    <w:uiPriority w:val="9"/>
    <w:qFormat/>
    <w:rsid w:val="00644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3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606C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4439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64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443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Yanina</dc:creator>
  <cp:lastModifiedBy>Daniela</cp:lastModifiedBy>
  <cp:revision>2</cp:revision>
  <cp:lastPrinted>2021-05-04T13:04:00Z</cp:lastPrinted>
  <dcterms:created xsi:type="dcterms:W3CDTF">2021-05-10T10:52:00Z</dcterms:created>
  <dcterms:modified xsi:type="dcterms:W3CDTF">2021-05-10T10:52:00Z</dcterms:modified>
</cp:coreProperties>
</file>